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6DE7" w:rsidRDefault="00C16DE7" w:rsidP="00C16DE7">
      <w:pPr>
        <w:jc w:val="center"/>
        <w:rPr>
          <w:b/>
          <w:szCs w:val="24"/>
          <w:lang w:eastAsia="lt-LT"/>
        </w:rPr>
      </w:pPr>
      <w:r>
        <w:rPr>
          <w:b/>
          <w:szCs w:val="24"/>
          <w:lang w:eastAsia="lt-LT"/>
        </w:rPr>
        <w:t>ŠILUTĖS LOPŠELIO-DARŽELIO „GINTARĖLIS“</w:t>
      </w:r>
    </w:p>
    <w:p w:rsidR="00C16DE7" w:rsidRDefault="00C16DE7" w:rsidP="00C16DE7">
      <w:pPr>
        <w:jc w:val="center"/>
        <w:rPr>
          <w:b/>
          <w:szCs w:val="24"/>
          <w:lang w:eastAsia="lt-LT"/>
        </w:rPr>
      </w:pPr>
      <w:r>
        <w:rPr>
          <w:b/>
          <w:szCs w:val="24"/>
          <w:lang w:eastAsia="lt-LT"/>
        </w:rPr>
        <w:t>DIREKTORĖS DANGUOLĖS RAZANTIENĖS</w:t>
      </w:r>
    </w:p>
    <w:p w:rsidR="00C16DE7" w:rsidRDefault="00C16DE7" w:rsidP="00C16DE7">
      <w:pPr>
        <w:jc w:val="center"/>
        <w:rPr>
          <w:b/>
          <w:szCs w:val="24"/>
          <w:lang w:eastAsia="lt-LT"/>
        </w:rPr>
      </w:pPr>
      <w:r>
        <w:rPr>
          <w:b/>
          <w:szCs w:val="24"/>
          <w:lang w:eastAsia="lt-LT"/>
        </w:rPr>
        <w:t>2023 METŲ VEIKLOS ATASKAITA</w:t>
      </w:r>
    </w:p>
    <w:p w:rsidR="00C16DE7" w:rsidRDefault="00C16DE7" w:rsidP="00C16DE7">
      <w:pPr>
        <w:jc w:val="center"/>
        <w:rPr>
          <w:szCs w:val="24"/>
          <w:lang w:eastAsia="lt-LT"/>
        </w:rPr>
      </w:pPr>
    </w:p>
    <w:p w:rsidR="00C16DE7" w:rsidRDefault="00C16DE7" w:rsidP="00C16DE7">
      <w:pPr>
        <w:jc w:val="center"/>
        <w:rPr>
          <w:lang w:eastAsia="lt-LT"/>
        </w:rPr>
      </w:pPr>
      <w:r>
        <w:rPr>
          <w:szCs w:val="24"/>
          <w:lang w:eastAsia="lt-LT"/>
        </w:rPr>
        <w:t>2024 m. sausio 9 d. Nr.</w:t>
      </w:r>
    </w:p>
    <w:p w:rsidR="00C16DE7" w:rsidRDefault="00C16DE7" w:rsidP="00C16DE7">
      <w:pPr>
        <w:tabs>
          <w:tab w:val="left" w:pos="3828"/>
        </w:tabs>
        <w:jc w:val="center"/>
        <w:rPr>
          <w:lang w:eastAsia="lt-LT"/>
        </w:rPr>
      </w:pPr>
      <w:r>
        <w:rPr>
          <w:szCs w:val="24"/>
          <w:lang w:eastAsia="lt-LT"/>
        </w:rPr>
        <w:t>Šilutė</w:t>
      </w:r>
    </w:p>
    <w:p w:rsidR="00C16DE7" w:rsidRDefault="00C16DE7" w:rsidP="00C16DE7">
      <w:pPr>
        <w:jc w:val="center"/>
        <w:rPr>
          <w:lang w:eastAsia="lt-LT"/>
        </w:rPr>
      </w:pPr>
    </w:p>
    <w:p w:rsidR="00C16DE7" w:rsidRDefault="00C16DE7" w:rsidP="00C16DE7">
      <w:pPr>
        <w:jc w:val="center"/>
        <w:rPr>
          <w:b/>
          <w:szCs w:val="24"/>
          <w:lang w:eastAsia="lt-LT"/>
        </w:rPr>
      </w:pPr>
      <w:r>
        <w:rPr>
          <w:b/>
          <w:szCs w:val="24"/>
          <w:lang w:eastAsia="lt-LT"/>
        </w:rPr>
        <w:t>I SKYRIUS</w:t>
      </w:r>
    </w:p>
    <w:p w:rsidR="00C16DE7" w:rsidRDefault="00C16DE7" w:rsidP="00C16DE7">
      <w:pPr>
        <w:jc w:val="center"/>
        <w:rPr>
          <w:b/>
          <w:szCs w:val="24"/>
          <w:lang w:eastAsia="lt-LT"/>
        </w:rPr>
      </w:pPr>
      <w:r>
        <w:rPr>
          <w:b/>
          <w:szCs w:val="24"/>
          <w:lang w:eastAsia="lt-LT"/>
        </w:rPr>
        <w:t>STRATEGINIO PLANO IR METINIO VEIKLOS PLANO ĮGYVENDINIMAS</w:t>
      </w:r>
    </w:p>
    <w:p w:rsidR="00C16DE7" w:rsidRDefault="00C16DE7" w:rsidP="00C16DE7">
      <w:pPr>
        <w:jc w:val="center"/>
        <w:rPr>
          <w:b/>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C16DE7" w:rsidTr="00C16DE7">
        <w:tc>
          <w:tcPr>
            <w:tcW w:w="9775" w:type="dxa"/>
            <w:tcBorders>
              <w:top w:val="single" w:sz="4" w:space="0" w:color="auto"/>
              <w:left w:val="single" w:sz="4" w:space="0" w:color="auto"/>
              <w:bottom w:val="single" w:sz="4" w:space="0" w:color="auto"/>
              <w:right w:val="single" w:sz="4" w:space="0" w:color="auto"/>
            </w:tcBorders>
          </w:tcPr>
          <w:p w:rsidR="00C16DE7" w:rsidRDefault="00C16DE7">
            <w:pPr>
              <w:jc w:val="center"/>
              <w:rPr>
                <w:sz w:val="20"/>
                <w:lang w:eastAsia="lt-LT"/>
              </w:rPr>
            </w:pPr>
          </w:p>
          <w:p w:rsidR="00C16DE7" w:rsidRDefault="00C16DE7">
            <w:pPr>
              <w:tabs>
                <w:tab w:val="left" w:pos="3600"/>
              </w:tabs>
              <w:jc w:val="both"/>
              <w:rPr>
                <w:lang w:eastAsia="lt-LT"/>
              </w:rPr>
            </w:pPr>
            <w:r>
              <w:rPr>
                <w:sz w:val="20"/>
                <w:lang w:eastAsia="lt-LT"/>
              </w:rPr>
              <w:t xml:space="preserve">           </w:t>
            </w:r>
            <w:r>
              <w:rPr>
                <w:szCs w:val="24"/>
                <w:lang w:eastAsia="lt-LT"/>
              </w:rPr>
              <w:t>Šilutės lopšelis-darželis „Gintarėlis“ (toliau – Įstaiga)</w:t>
            </w:r>
            <w:r>
              <w:rPr>
                <w:lang w:eastAsia="lt-LT"/>
              </w:rPr>
              <w:t xml:space="preserve"> prasmės, atradimų ir džiaugsmo darželis, atsižvelgiantis į individualius vaiko poreikius, kuriantis patrauklią ir saugią vidaus ir lauko aplinką, padedantis pasirengti sėkmingai mokytis pagal pradinio ugdymo programą. Atviras naujovėms ir bendruomenei. </w:t>
            </w:r>
          </w:p>
          <w:p w:rsidR="00C16DE7" w:rsidRDefault="00C16DE7">
            <w:pPr>
              <w:jc w:val="both"/>
              <w:rPr>
                <w:szCs w:val="24"/>
                <w:lang w:eastAsia="lt-LT"/>
              </w:rPr>
            </w:pPr>
            <w:r>
              <w:rPr>
                <w:szCs w:val="24"/>
                <w:lang w:eastAsia="lt-LT"/>
              </w:rPr>
              <w:t xml:space="preserve">         2023 m. rugsėjo 1 d. duomenimis įstaigą lankė 199 vaikai, iš jų 153 ikimokyklinio amžiaus ir 46 priešmokyklinio amžiaus vaikai. Specialieji ugdymosi poreikiai nustatyti 13 vaikų. Švietimo pagalba (1,0 et. logopedo nuo spalio 1 d.) teikta 35 vaikams, turintiems kalbos ir komunikacijos sutrikimų. Nuo rugsėjo 1 d. įstaigoje 1,0 et. dirba socialinė pedagogė. Nuo rugsėjo 1 d. įsteigtas dar vienas  mokytojo padėjėjo etatas. </w:t>
            </w:r>
          </w:p>
          <w:p w:rsidR="00C16DE7" w:rsidRDefault="00C16DE7">
            <w:pPr>
              <w:jc w:val="both"/>
              <w:rPr>
                <w:lang w:eastAsia="lt-LT"/>
              </w:rPr>
            </w:pPr>
            <w:r>
              <w:rPr>
                <w:szCs w:val="24"/>
                <w:lang w:eastAsia="lt-LT"/>
              </w:rPr>
              <w:t xml:space="preserve">        </w:t>
            </w:r>
            <w:r>
              <w:rPr>
                <w:lang w:eastAsia="lt-LT"/>
              </w:rPr>
              <w:t xml:space="preserve">Įstaigoje patvirtinti 49,78 etatai, iš jų 28,5 aptarnaujančio personalo ir 21,28 mokytojų. </w:t>
            </w:r>
          </w:p>
          <w:p w:rsidR="00C16DE7" w:rsidRDefault="00C16DE7">
            <w:pPr>
              <w:jc w:val="both"/>
              <w:rPr>
                <w:lang w:eastAsia="lt-LT"/>
              </w:rPr>
            </w:pPr>
            <w:r>
              <w:rPr>
                <w:lang w:eastAsia="lt-LT"/>
              </w:rPr>
              <w:t xml:space="preserve">        2023 m. įstaigoje veikla organizuota vadovaujantis Įstaigos 2022-2024 m. strateginiu planu (toliau – Strateginis planas) ir Įstaigos 2023 m. veiklos planu (toliau – Veiklos planas). 2023 m. įstaigos bendruomenė išsikėlė prioritetus –  materialinės bazės turtinimas ir modernizavimas, atsižvelgiant į šeimos ir visuomenės poreikius ir nuolat tobulėjantys mokytojai, siekiantys kokybiško kiekvieno vaiko ugdymo. 2023 m. įstaiga siekė strateginių tikslų: 1) Užtikrinti ugdymo programų įvairovę ir kokybę šiuolaikiškai aprūpintoje švietimo įstaigoje 2) Vykdyti priemones, turinčias netiesioginės įtakos kokybiškam ugdymo procesui. Strateginiams tikslams įgyvendinti buvo iškelti tikslai ir uždaviniai, numatytos priemonės laukiamiems rezultatams pasiekti.</w:t>
            </w:r>
          </w:p>
          <w:p w:rsidR="00C16DE7" w:rsidRDefault="00C16DE7">
            <w:pPr>
              <w:jc w:val="both"/>
              <w:rPr>
                <w:lang w:eastAsia="lt-LT"/>
              </w:rPr>
            </w:pPr>
            <w:r>
              <w:rPr>
                <w:lang w:eastAsia="lt-LT"/>
              </w:rPr>
              <w:t xml:space="preserve">       Siekiant Strateginio plano pirmojo tikslo  – užtikrinti ugdymo programų įvairovę ir kokybę šiuolaikiškai aprūpintoje švietimo įstaigoje, įstaigos veikla buvo orientuota į mokytojų kompetencijų didinimą, modernių ugdymo(</w:t>
            </w:r>
            <w:proofErr w:type="spellStart"/>
            <w:r>
              <w:rPr>
                <w:lang w:eastAsia="lt-LT"/>
              </w:rPr>
              <w:t>si</w:t>
            </w:r>
            <w:proofErr w:type="spellEnd"/>
            <w:r>
              <w:rPr>
                <w:lang w:eastAsia="lt-LT"/>
              </w:rPr>
              <w:t>) priemonių ir kokybiškų paslaugų teikimo įvairovę. Tikslui pasiekti buvo  vykdomi šie uždaviniai:</w:t>
            </w:r>
          </w:p>
          <w:p w:rsidR="00C16DE7" w:rsidRDefault="00C16DE7">
            <w:pPr>
              <w:jc w:val="both"/>
              <w:rPr>
                <w:lang w:eastAsia="lt-LT"/>
              </w:rPr>
            </w:pPr>
            <w:r>
              <w:rPr>
                <w:lang w:eastAsia="lt-LT"/>
              </w:rPr>
              <w:t xml:space="preserve">      -  įgyvendinant pirmąjį uždavinį, tobulinti mokytojų kompetencijas, užtikrinant ugdymo programų įvairovę, buvo tikslingai vykdomas mokytojų profesinis tobulėjimas. Lopšelis-darželis priklausė „Besimokančių darželių tinklui 2023 m.“. Tai nuotolinė ilgalaikė programa (2023 m. vasario 21 d.- gruodžio 31 d.), kuri orientuota į žinių gilinimą apie </w:t>
            </w:r>
            <w:proofErr w:type="spellStart"/>
            <w:r>
              <w:rPr>
                <w:lang w:eastAsia="lt-LT"/>
              </w:rPr>
              <w:t>įtraukųjį</w:t>
            </w:r>
            <w:proofErr w:type="spellEnd"/>
            <w:r>
              <w:rPr>
                <w:lang w:eastAsia="lt-LT"/>
              </w:rPr>
              <w:t xml:space="preserve"> ugdymą. Įstaigos mokytojams organizuotas lektoriaus T. </w:t>
            </w:r>
            <w:proofErr w:type="spellStart"/>
            <w:r>
              <w:rPr>
                <w:lang w:eastAsia="lt-LT"/>
              </w:rPr>
              <w:t>Lagūnavičiaus</w:t>
            </w:r>
            <w:proofErr w:type="spellEnd"/>
            <w:r>
              <w:rPr>
                <w:lang w:eastAsia="lt-LT"/>
              </w:rPr>
              <w:t xml:space="preserve">  8 </w:t>
            </w:r>
            <w:proofErr w:type="spellStart"/>
            <w:r>
              <w:rPr>
                <w:lang w:eastAsia="lt-LT"/>
              </w:rPr>
              <w:t>val</w:t>
            </w:r>
            <w:proofErr w:type="spellEnd"/>
            <w:r>
              <w:rPr>
                <w:lang w:eastAsia="lt-LT"/>
              </w:rPr>
              <w:t xml:space="preserve"> seminaras apie vaikų drausmę ir darbingumą darželyje. Mokytojai skaitė 3 pranešimus respublikinėse metodinėse konferencijose, dalijosi kolegialiąja patirtimi įstaigos metodiniuose renginiuose.</w:t>
            </w:r>
          </w:p>
          <w:p w:rsidR="00C16DE7" w:rsidRDefault="00C16DE7">
            <w:pPr>
              <w:jc w:val="both"/>
              <w:rPr>
                <w:lang w:eastAsia="lt-LT"/>
              </w:rPr>
            </w:pPr>
            <w:r>
              <w:rPr>
                <w:lang w:eastAsia="lt-LT"/>
              </w:rPr>
              <w:t xml:space="preserve">      -    įgyvendinant antrąjį uždavinį, siekiant sudaryti sąlygas užtikrinti ugdymo įvairovę, mokytojai su vaikais </w:t>
            </w:r>
            <w:proofErr w:type="spellStart"/>
            <w:r>
              <w:rPr>
                <w:lang w:eastAsia="lt-LT"/>
              </w:rPr>
              <w:t>įstraukė</w:t>
            </w:r>
            <w:proofErr w:type="spellEnd"/>
            <w:r>
              <w:rPr>
                <w:lang w:eastAsia="lt-LT"/>
              </w:rPr>
              <w:t xml:space="preserve"> į respublikines akcijas, iniciatyvas, konkursus, projektus. Mūsų įstaigos mokytojai organizavo respublikinę kūrybinių darbelių parodą „Lai žibintų šviesa tamsą išsklaido“. Vaikai dalyvavo edukacijose-išvykose: Šilutės H. </w:t>
            </w:r>
            <w:proofErr w:type="spellStart"/>
            <w:r>
              <w:rPr>
                <w:lang w:eastAsia="lt-LT"/>
              </w:rPr>
              <w:t>Šojaus</w:t>
            </w:r>
            <w:proofErr w:type="spellEnd"/>
            <w:r>
              <w:rPr>
                <w:lang w:eastAsia="lt-LT"/>
              </w:rPr>
              <w:t xml:space="preserve"> dvare, Ž. Naumiesčio žuvininkystės centre. Įstaigoje apsilankė „Stebuklų laboratorija“, kuri su vaikais atliko įvairius bandymus. Buvo tęsiamas bendradarbiavimas su socialiniais partneriais ir kitomis Šilutės miesto įstaigomis. Šilutės socialinės globos namuose gyvenantiems senjorams padovanoti koncertai minint pagyvenusių žmonių dieną ir advento laikotarpiu. Priešmokyklinio amžiaus vaikų, kartu su mokytoja, sukurtas  spektaklis ekologine tema „Žemės prašymas“, parodytas Šilutės f. Bajoraičio bibliotekoje, lopšelių-darželių „Žibutė“ ir „</w:t>
            </w:r>
            <w:proofErr w:type="spellStart"/>
            <w:r>
              <w:rPr>
                <w:lang w:eastAsia="lt-LT"/>
              </w:rPr>
              <w:t>Raudonkepuraitė</w:t>
            </w:r>
            <w:proofErr w:type="spellEnd"/>
            <w:r>
              <w:rPr>
                <w:lang w:eastAsia="lt-LT"/>
              </w:rPr>
              <w:t xml:space="preserve">“ vaikams. Užmegztas bendradarbiavimas su Šilutės pamario progimnazijos pradinių klasių mokiniais ir Vydūno gimnazijos gimnazistais. Organizuotos atviros veiklos-popietės tėvams,  kūrybinės meninės vaikų ir tėvų parodos. Tėvai įtraukti į įvairias veiklas grupėse. </w:t>
            </w:r>
          </w:p>
          <w:p w:rsidR="00C16DE7" w:rsidRDefault="00C16DE7">
            <w:pPr>
              <w:jc w:val="both"/>
              <w:rPr>
                <w:lang w:eastAsia="lt-LT"/>
              </w:rPr>
            </w:pPr>
            <w:r>
              <w:rPr>
                <w:lang w:eastAsia="lt-LT"/>
              </w:rPr>
              <w:lastRenderedPageBreak/>
              <w:t xml:space="preserve">        Įgyvendinant antrąjį strateginio plano tikslą –  vykdyti priemones, turinčias netiesioginės įtakos kokybiškam ugdymo procesui – įsigyti vaikiški treniruokliai lauke, išskleidžiama palapinė. Mokytojams nupirkti nauji rašomieji stalai ir kėdės. Atliktas remontas logopedės kabinete. Lauke įsigytos komposto dėžės, grupėse ir laiptinėse atliekų rūšiavimo šiukšliadėžės. Visų grupių prausyklose įrengti veidrodžiai virš praustuvių. Virtuvėlėse pakeisti stalviršiai ir staliukai.</w:t>
            </w:r>
          </w:p>
          <w:p w:rsidR="00C16DE7" w:rsidRDefault="00C16DE7">
            <w:pPr>
              <w:jc w:val="both"/>
              <w:rPr>
                <w:b/>
                <w:lang w:eastAsia="lt-LT"/>
              </w:rPr>
            </w:pPr>
            <w:r>
              <w:rPr>
                <w:b/>
                <w:lang w:eastAsia="lt-LT"/>
              </w:rPr>
              <w:t>Mokymo lėšų gavimas ir panaudojimas 2023 m.</w:t>
            </w:r>
          </w:p>
          <w:tbl>
            <w:tblPr>
              <w:tblStyle w:val="Lentelstinklelis"/>
              <w:tblW w:w="0" w:type="auto"/>
              <w:tblInd w:w="0" w:type="dxa"/>
              <w:tblLook w:val="04A0" w:firstRow="1" w:lastRow="0" w:firstColumn="1" w:lastColumn="0" w:noHBand="0" w:noVBand="1"/>
            </w:tblPr>
            <w:tblGrid>
              <w:gridCol w:w="4774"/>
              <w:gridCol w:w="4775"/>
            </w:tblGrid>
            <w:tr w:rsidR="00C16DE7">
              <w:tc>
                <w:tcPr>
                  <w:tcW w:w="4778" w:type="dxa"/>
                  <w:tcBorders>
                    <w:top w:val="single" w:sz="4" w:space="0" w:color="auto"/>
                    <w:left w:val="single" w:sz="4" w:space="0" w:color="auto"/>
                    <w:bottom w:val="single" w:sz="4" w:space="0" w:color="auto"/>
                    <w:right w:val="single" w:sz="4" w:space="0" w:color="auto"/>
                  </w:tcBorders>
                  <w:hideMark/>
                </w:tcPr>
                <w:p w:rsidR="00C16DE7" w:rsidRDefault="00C16DE7">
                  <w:pPr>
                    <w:jc w:val="both"/>
                    <w:rPr>
                      <w:lang w:eastAsia="lt-LT"/>
                    </w:rPr>
                  </w:pPr>
                  <w:r>
                    <w:rPr>
                      <w:lang w:eastAsia="lt-LT"/>
                    </w:rPr>
                    <w:t>Gautos lėšos (Eur)</w:t>
                  </w:r>
                </w:p>
              </w:tc>
              <w:tc>
                <w:tcPr>
                  <w:tcW w:w="4779" w:type="dxa"/>
                  <w:tcBorders>
                    <w:top w:val="single" w:sz="4" w:space="0" w:color="auto"/>
                    <w:left w:val="single" w:sz="4" w:space="0" w:color="auto"/>
                    <w:bottom w:val="single" w:sz="4" w:space="0" w:color="auto"/>
                    <w:right w:val="single" w:sz="4" w:space="0" w:color="auto"/>
                  </w:tcBorders>
                  <w:hideMark/>
                </w:tcPr>
                <w:p w:rsidR="00C16DE7" w:rsidRDefault="00C16DE7">
                  <w:pPr>
                    <w:jc w:val="both"/>
                    <w:rPr>
                      <w:lang w:eastAsia="lt-LT"/>
                    </w:rPr>
                  </w:pPr>
                  <w:r>
                    <w:rPr>
                      <w:lang w:eastAsia="lt-LT"/>
                    </w:rPr>
                    <w:t>Panaudotos lėšos (Eur)</w:t>
                  </w:r>
                </w:p>
              </w:tc>
            </w:tr>
            <w:tr w:rsidR="00C16DE7">
              <w:tc>
                <w:tcPr>
                  <w:tcW w:w="4778" w:type="dxa"/>
                  <w:tcBorders>
                    <w:top w:val="single" w:sz="4" w:space="0" w:color="auto"/>
                    <w:left w:val="single" w:sz="4" w:space="0" w:color="auto"/>
                    <w:bottom w:val="single" w:sz="4" w:space="0" w:color="auto"/>
                    <w:right w:val="single" w:sz="4" w:space="0" w:color="auto"/>
                  </w:tcBorders>
                  <w:hideMark/>
                </w:tcPr>
                <w:p w:rsidR="00C16DE7" w:rsidRDefault="00C16DE7">
                  <w:pPr>
                    <w:jc w:val="both"/>
                    <w:rPr>
                      <w:b/>
                      <w:lang w:eastAsia="lt-LT"/>
                    </w:rPr>
                  </w:pPr>
                  <w:r>
                    <w:rPr>
                      <w:b/>
                      <w:lang w:eastAsia="lt-LT"/>
                    </w:rPr>
                    <w:t>470900</w:t>
                  </w:r>
                </w:p>
              </w:tc>
              <w:tc>
                <w:tcPr>
                  <w:tcW w:w="4779" w:type="dxa"/>
                  <w:tcBorders>
                    <w:top w:val="single" w:sz="4" w:space="0" w:color="auto"/>
                    <w:left w:val="single" w:sz="4" w:space="0" w:color="auto"/>
                    <w:bottom w:val="single" w:sz="4" w:space="0" w:color="auto"/>
                    <w:right w:val="single" w:sz="4" w:space="0" w:color="auto"/>
                  </w:tcBorders>
                  <w:hideMark/>
                </w:tcPr>
                <w:p w:rsidR="00C16DE7" w:rsidRDefault="00C16DE7">
                  <w:pPr>
                    <w:rPr>
                      <w:b/>
                      <w:lang w:eastAsia="lt-LT"/>
                    </w:rPr>
                  </w:pPr>
                  <w:r>
                    <w:rPr>
                      <w:b/>
                      <w:lang w:eastAsia="lt-LT"/>
                    </w:rPr>
                    <w:t>470900</w:t>
                  </w:r>
                </w:p>
              </w:tc>
            </w:tr>
          </w:tbl>
          <w:p w:rsidR="00C16DE7" w:rsidRDefault="00C16DE7">
            <w:pPr>
              <w:spacing w:line="360" w:lineRule="auto"/>
              <w:rPr>
                <w:b/>
                <w:bCs/>
                <w:szCs w:val="24"/>
              </w:rPr>
            </w:pPr>
            <w:r>
              <w:rPr>
                <w:b/>
                <w:bCs/>
                <w:szCs w:val="24"/>
              </w:rPr>
              <w:t xml:space="preserve"> Kitos lėšos</w:t>
            </w:r>
          </w:p>
          <w:tbl>
            <w:tblPr>
              <w:tblW w:w="9500" w:type="dxa"/>
              <w:tblInd w:w="66" w:type="dxa"/>
              <w:tblCellMar>
                <w:top w:w="44" w:type="dxa"/>
                <w:left w:w="81" w:type="dxa"/>
                <w:right w:w="23" w:type="dxa"/>
              </w:tblCellMar>
              <w:tblLook w:val="04A0" w:firstRow="1" w:lastRow="0" w:firstColumn="1" w:lastColumn="0" w:noHBand="0" w:noVBand="1"/>
            </w:tblPr>
            <w:tblGrid>
              <w:gridCol w:w="2016"/>
              <w:gridCol w:w="1467"/>
              <w:gridCol w:w="1472"/>
              <w:gridCol w:w="1653"/>
              <w:gridCol w:w="1355"/>
              <w:gridCol w:w="1537"/>
            </w:tblGrid>
            <w:tr w:rsidR="00C16DE7">
              <w:trPr>
                <w:trHeight w:val="840"/>
              </w:trPr>
              <w:tc>
                <w:tcPr>
                  <w:tcW w:w="2016" w:type="dxa"/>
                  <w:tcBorders>
                    <w:top w:val="single" w:sz="2" w:space="0" w:color="000000"/>
                    <w:left w:val="single" w:sz="2" w:space="0" w:color="000000"/>
                    <w:bottom w:val="single" w:sz="2" w:space="0" w:color="000000"/>
                    <w:right w:val="single" w:sz="2" w:space="0" w:color="000000"/>
                  </w:tcBorders>
                  <w:vAlign w:val="center"/>
                  <w:hideMark/>
                </w:tcPr>
                <w:p w:rsidR="00C16DE7" w:rsidRDefault="00C16DE7">
                  <w:pPr>
                    <w:ind w:right="23"/>
                    <w:jc w:val="center"/>
                  </w:pPr>
                  <w:r>
                    <w:t>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pPr>
                  <w:r>
                    <w:t>Darbo užmokestis</w:t>
                  </w:r>
                </w:p>
                <w:p w:rsidR="00C16DE7" w:rsidRDefault="00C16DE7">
                  <w:pPr>
                    <w:jc w:val="center"/>
                  </w:pPr>
                  <w:r>
                    <w:t>(Eur)</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spacing w:line="237" w:lineRule="auto"/>
                    <w:ind w:left="194" w:firstLine="66"/>
                  </w:pPr>
                  <w:r>
                    <w:t>Prekės ir paslaugos</w:t>
                  </w:r>
                </w:p>
                <w:p w:rsidR="00C16DE7" w:rsidRDefault="00C16DE7">
                  <w:pPr>
                    <w:ind w:right="14"/>
                    <w:jc w:val="center"/>
                  </w:pPr>
                  <w:r>
                    <w:t>(Eur)</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pPr>
                  <w:r>
                    <w:t>Kvalifikacijos kėlimas</w:t>
                  </w:r>
                </w:p>
                <w:p w:rsidR="00C16DE7" w:rsidRDefault="00C16DE7">
                  <w:pPr>
                    <w:jc w:val="center"/>
                  </w:pPr>
                  <w:r>
                    <w:t>(Eur)</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pPr>
                  <w:r>
                    <w:t>Maitinimas (Eur)</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49"/>
                    <w:jc w:val="center"/>
                  </w:pPr>
                  <w:r>
                    <w:rPr>
                      <w:sz w:val="26"/>
                    </w:rPr>
                    <w:t>Iš viso</w:t>
                  </w:r>
                </w:p>
                <w:p w:rsidR="00C16DE7" w:rsidRDefault="00C16DE7">
                  <w:pPr>
                    <w:ind w:right="44"/>
                    <w:jc w:val="center"/>
                  </w:pPr>
                  <w:r>
                    <w:rPr>
                      <w:sz w:val="26"/>
                    </w:rPr>
                    <w:t>(Eur)</w:t>
                  </w:r>
                </w:p>
              </w:tc>
            </w:tr>
            <w:tr w:rsidR="00C16DE7">
              <w:trPr>
                <w:trHeight w:val="561"/>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56"/>
                    <w:rPr>
                      <w:b/>
                      <w:bCs/>
                      <w:sz w:val="26"/>
                      <w:szCs w:val="26"/>
                    </w:rPr>
                  </w:pPr>
                  <w:r>
                    <w:rPr>
                      <w:b/>
                      <w:bCs/>
                      <w:sz w:val="26"/>
                      <w:szCs w:val="26"/>
                    </w:rPr>
                    <w:t>Savivaldybės biudžeto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28"/>
                    <w:jc w:val="center"/>
                  </w:pPr>
                  <w:r>
                    <w:t>499716</w:t>
                  </w:r>
                </w:p>
              </w:tc>
              <w:tc>
                <w:tcPr>
                  <w:tcW w:w="1472" w:type="dxa"/>
                  <w:tcBorders>
                    <w:top w:val="single" w:sz="2" w:space="0" w:color="000000"/>
                    <w:left w:val="single" w:sz="2" w:space="0" w:color="000000"/>
                    <w:bottom w:val="single" w:sz="2" w:space="0" w:color="000000"/>
                    <w:right w:val="single" w:sz="2" w:space="0" w:color="000000"/>
                  </w:tcBorders>
                </w:tcPr>
                <w:p w:rsidR="00C16DE7" w:rsidRDefault="00C16DE7">
                  <w:pPr>
                    <w:ind w:right="29"/>
                    <w:jc w:val="center"/>
                  </w:pPr>
                  <w:r>
                    <w:t>72707</w:t>
                  </w:r>
                </w:p>
                <w:p w:rsidR="00C16DE7" w:rsidRDefault="00C16DE7">
                  <w:pPr>
                    <w:ind w:right="29"/>
                    <w:jc w:val="center"/>
                  </w:pP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12"/>
                    <w:jc w:val="center"/>
                  </w:pPr>
                  <w:r>
                    <w:t>600</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30"/>
                    <w:jc w:val="center"/>
                  </w:pPr>
                  <w:r>
                    <w:t>2000</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left="43"/>
                    <w:jc w:val="center"/>
                  </w:pPr>
                  <w:r>
                    <w:fldChar w:fldCharType="begin"/>
                  </w:r>
                  <w:r>
                    <w:instrText xml:space="preserve"> =SUM(LEFT) </w:instrText>
                  </w:r>
                  <w:r>
                    <w:fldChar w:fldCharType="separate"/>
                  </w:r>
                  <w:r>
                    <w:rPr>
                      <w:noProof/>
                    </w:rPr>
                    <w:t>575023</w:t>
                  </w:r>
                  <w:r>
                    <w:fldChar w:fldCharType="end"/>
                  </w:r>
                </w:p>
              </w:tc>
            </w:tr>
            <w:tr w:rsidR="00C16DE7">
              <w:trPr>
                <w:trHeight w:val="289"/>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41"/>
                    <w:rPr>
                      <w:b/>
                      <w:bCs/>
                      <w:sz w:val="26"/>
                      <w:szCs w:val="26"/>
                    </w:rPr>
                  </w:pPr>
                  <w:r>
                    <w:rPr>
                      <w:b/>
                      <w:bCs/>
                      <w:sz w:val="26"/>
                      <w:szCs w:val="26"/>
                    </w:rPr>
                    <w:t>Mokymo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39"/>
                    <w:jc w:val="center"/>
                  </w:pPr>
                  <w:r>
                    <w:t>462315</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34"/>
                    <w:jc w:val="center"/>
                  </w:pPr>
                  <w:r>
                    <w:t>7185</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7"/>
                    <w:jc w:val="center"/>
                  </w:pPr>
                  <w:r>
                    <w:t>1400</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35"/>
                    <w:jc w:val="center"/>
                  </w:pPr>
                  <w:r>
                    <w:t>-</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left="38"/>
                    <w:jc w:val="center"/>
                  </w:pPr>
                  <w:r>
                    <w:t>470900</w:t>
                  </w:r>
                </w:p>
              </w:tc>
            </w:tr>
            <w:tr w:rsidR="00C16DE7">
              <w:trPr>
                <w:trHeight w:val="558"/>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41" w:right="33"/>
                    <w:rPr>
                      <w:b/>
                      <w:bCs/>
                      <w:sz w:val="26"/>
                      <w:szCs w:val="26"/>
                    </w:rPr>
                  </w:pPr>
                  <w:r>
                    <w:rPr>
                      <w:b/>
                      <w:bCs/>
                      <w:sz w:val="26"/>
                      <w:szCs w:val="26"/>
                    </w:rPr>
                    <w:t>Kitų dotacijų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8"/>
                    <w:jc w:val="center"/>
                  </w:pPr>
                  <w:r>
                    <w:t>-</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34"/>
                    <w:jc w:val="center"/>
                  </w:pPr>
                  <w:r>
                    <w:t>22130</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27"/>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35"/>
                    <w:jc w:val="center"/>
                  </w:pPr>
                  <w:r>
                    <w:t>-</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34"/>
                    <w:jc w:val="center"/>
                  </w:pPr>
                  <w:r>
                    <w:t>22130</w:t>
                  </w:r>
                </w:p>
              </w:tc>
            </w:tr>
            <w:tr w:rsidR="00C16DE7">
              <w:trPr>
                <w:trHeight w:val="558"/>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41" w:right="33"/>
                    <w:rPr>
                      <w:b/>
                      <w:bCs/>
                      <w:sz w:val="26"/>
                      <w:szCs w:val="26"/>
                    </w:rPr>
                  </w:pPr>
                  <w:r>
                    <w:rPr>
                      <w:b/>
                      <w:bCs/>
                      <w:sz w:val="26"/>
                      <w:szCs w:val="26"/>
                    </w:rPr>
                    <w:t>Optimizavimo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8"/>
                    <w:jc w:val="center"/>
                  </w:pPr>
                  <w:r>
                    <w:t>635</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34"/>
                    <w:jc w:val="center"/>
                  </w:pPr>
                  <w:r>
                    <w:t>-</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27"/>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35"/>
                    <w:jc w:val="center"/>
                  </w:pPr>
                  <w:r>
                    <w:t>-</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34"/>
                    <w:jc w:val="center"/>
                  </w:pPr>
                  <w:r>
                    <w:t>635</w:t>
                  </w:r>
                </w:p>
              </w:tc>
            </w:tr>
            <w:tr w:rsidR="00C16DE7">
              <w:trPr>
                <w:trHeight w:val="558"/>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41" w:hanging="5"/>
                    <w:rPr>
                      <w:b/>
                      <w:bCs/>
                      <w:sz w:val="26"/>
                      <w:szCs w:val="26"/>
                    </w:rPr>
                  </w:pPr>
                  <w:r>
                    <w:rPr>
                      <w:b/>
                      <w:bCs/>
                      <w:sz w:val="26"/>
                      <w:szCs w:val="26"/>
                    </w:rPr>
                    <w:t>Nemokamo maitinimo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44"/>
                    <w:jc w:val="center"/>
                  </w:pPr>
                  <w:r>
                    <w:t>-</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39"/>
                    <w:jc w:val="center"/>
                  </w:pPr>
                  <w:r>
                    <w:t>-</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37"/>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30"/>
                    <w:jc w:val="center"/>
                  </w:pPr>
                  <w:r>
                    <w:t>17937</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39"/>
                    <w:jc w:val="center"/>
                  </w:pPr>
                  <w:r>
                    <w:t>17937</w:t>
                  </w:r>
                </w:p>
              </w:tc>
            </w:tr>
            <w:tr w:rsidR="00C16DE7">
              <w:trPr>
                <w:trHeight w:val="290"/>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41"/>
                    <w:rPr>
                      <w:b/>
                      <w:bCs/>
                      <w:sz w:val="26"/>
                      <w:szCs w:val="26"/>
                    </w:rPr>
                  </w:pPr>
                  <w:r>
                    <w:rPr>
                      <w:b/>
                      <w:bCs/>
                      <w:sz w:val="26"/>
                      <w:szCs w:val="26"/>
                    </w:rPr>
                    <w:t>Spec.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44"/>
                    <w:jc w:val="center"/>
                  </w:pPr>
                  <w:r>
                    <w:t>-</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49"/>
                    <w:jc w:val="center"/>
                  </w:pPr>
                  <w:r>
                    <w:t>13310</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37"/>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45"/>
                    <w:jc w:val="center"/>
                  </w:pPr>
                  <w:r>
                    <w:t>80690</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54"/>
                    <w:jc w:val="center"/>
                  </w:pPr>
                  <w:r>
                    <w:t>94000</w:t>
                  </w:r>
                </w:p>
              </w:tc>
            </w:tr>
            <w:tr w:rsidR="00C16DE7">
              <w:trPr>
                <w:trHeight w:val="565"/>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147" w:hanging="127"/>
                    <w:rPr>
                      <w:b/>
                      <w:bCs/>
                      <w:sz w:val="26"/>
                      <w:szCs w:val="26"/>
                    </w:rPr>
                  </w:pPr>
                  <w:r>
                    <w:rPr>
                      <w:b/>
                      <w:bCs/>
                      <w:sz w:val="26"/>
                      <w:szCs w:val="26"/>
                    </w:rPr>
                    <w:t>1,2 proc. GPM</w:t>
                  </w:r>
                </w:p>
                <w:p w:rsidR="00C16DE7" w:rsidRDefault="00C16DE7">
                  <w:pPr>
                    <w:ind w:left="147" w:hanging="127"/>
                    <w:rPr>
                      <w:b/>
                      <w:bCs/>
                      <w:sz w:val="26"/>
                      <w:szCs w:val="26"/>
                    </w:rPr>
                  </w:pPr>
                  <w:r>
                    <w:rPr>
                      <w:b/>
                      <w:bCs/>
                      <w:sz w:val="26"/>
                      <w:szCs w:val="26"/>
                    </w:rPr>
                    <w:t>parama</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95"/>
                    <w:jc w:val="center"/>
                  </w:pPr>
                  <w:r>
                    <w:t>-</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70"/>
                    <w:jc w:val="center"/>
                  </w:pPr>
                  <w:r>
                    <w:t>200</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83"/>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91"/>
                    <w:jc w:val="center"/>
                  </w:pPr>
                  <w:r>
                    <w:t>-</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75"/>
                    <w:jc w:val="center"/>
                  </w:pPr>
                  <w:r>
                    <w:t>200</w:t>
                  </w:r>
                </w:p>
              </w:tc>
            </w:tr>
            <w:tr w:rsidR="00C16DE7">
              <w:trPr>
                <w:trHeight w:val="286"/>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15"/>
                    <w:rPr>
                      <w:b/>
                      <w:bCs/>
                      <w:sz w:val="26"/>
                      <w:szCs w:val="26"/>
                    </w:rPr>
                  </w:pPr>
                  <w:r>
                    <w:rPr>
                      <w:b/>
                      <w:bCs/>
                      <w:sz w:val="26"/>
                      <w:szCs w:val="26"/>
                    </w:rPr>
                    <w:t>Iš viso</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rPr>
                      <w:b/>
                    </w:rPr>
                  </w:pPr>
                  <w:r>
                    <w:rPr>
                      <w:b/>
                    </w:rPr>
                    <w:t>962666</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rPr>
                      <w:b/>
                    </w:rPr>
                  </w:pPr>
                  <w:r>
                    <w:rPr>
                      <w:b/>
                    </w:rPr>
                    <w:t>115532</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rPr>
                      <w:b/>
                    </w:rPr>
                  </w:pPr>
                  <w:r>
                    <w:rPr>
                      <w:b/>
                    </w:rPr>
                    <w:t>2000</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jc w:val="center"/>
                    <w:rPr>
                      <w:b/>
                    </w:rPr>
                  </w:pPr>
                  <w:r>
                    <w:rPr>
                      <w:b/>
                    </w:rPr>
                    <w:t>100627</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95"/>
                    <w:jc w:val="center"/>
                    <w:rPr>
                      <w:b/>
                    </w:rPr>
                  </w:pPr>
                  <w:r>
                    <w:rPr>
                      <w:b/>
                    </w:rPr>
                    <w:t>1180825</w:t>
                  </w:r>
                </w:p>
              </w:tc>
            </w:tr>
            <w:tr w:rsidR="00C16DE7">
              <w:trPr>
                <w:trHeight w:val="284"/>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15"/>
                    <w:rPr>
                      <w:b/>
                      <w:bCs/>
                      <w:sz w:val="26"/>
                      <w:szCs w:val="26"/>
                    </w:rPr>
                  </w:pPr>
                  <w:r>
                    <w:rPr>
                      <w:b/>
                      <w:bCs/>
                      <w:sz w:val="26"/>
                      <w:szCs w:val="26"/>
                    </w:rPr>
                    <w:t>Skolos:</w:t>
                  </w:r>
                </w:p>
              </w:tc>
              <w:tc>
                <w:tcPr>
                  <w:tcW w:w="1467" w:type="dxa"/>
                  <w:tcBorders>
                    <w:top w:val="single" w:sz="2" w:space="0" w:color="000000"/>
                    <w:left w:val="single" w:sz="2" w:space="0" w:color="000000"/>
                    <w:bottom w:val="single" w:sz="2" w:space="0" w:color="000000"/>
                    <w:right w:val="single" w:sz="2" w:space="0" w:color="000000"/>
                  </w:tcBorders>
                </w:tcPr>
                <w:p w:rsidR="00C16DE7" w:rsidRDefault="00C16DE7"/>
              </w:tc>
              <w:tc>
                <w:tcPr>
                  <w:tcW w:w="1472" w:type="dxa"/>
                  <w:tcBorders>
                    <w:top w:val="single" w:sz="2" w:space="0" w:color="000000"/>
                    <w:left w:val="single" w:sz="2" w:space="0" w:color="000000"/>
                    <w:bottom w:val="single" w:sz="2" w:space="0" w:color="000000"/>
                    <w:right w:val="single" w:sz="2" w:space="0" w:color="000000"/>
                  </w:tcBorders>
                </w:tcPr>
                <w:p w:rsidR="00C16DE7" w:rsidRDefault="00C16DE7"/>
              </w:tc>
              <w:tc>
                <w:tcPr>
                  <w:tcW w:w="1653" w:type="dxa"/>
                  <w:tcBorders>
                    <w:top w:val="single" w:sz="2" w:space="0" w:color="000000"/>
                    <w:left w:val="single" w:sz="2" w:space="0" w:color="000000"/>
                    <w:bottom w:val="single" w:sz="2" w:space="0" w:color="000000"/>
                    <w:right w:val="single" w:sz="2" w:space="0" w:color="000000"/>
                  </w:tcBorders>
                </w:tcPr>
                <w:p w:rsidR="00C16DE7" w:rsidRDefault="00C16DE7"/>
              </w:tc>
              <w:tc>
                <w:tcPr>
                  <w:tcW w:w="1355" w:type="dxa"/>
                  <w:tcBorders>
                    <w:top w:val="single" w:sz="2" w:space="0" w:color="000000"/>
                    <w:left w:val="single" w:sz="2" w:space="0" w:color="000000"/>
                    <w:bottom w:val="single" w:sz="2" w:space="0" w:color="000000"/>
                    <w:right w:val="single" w:sz="2" w:space="0" w:color="000000"/>
                  </w:tcBorders>
                </w:tcPr>
                <w:p w:rsidR="00C16DE7" w:rsidRDefault="00C16DE7"/>
              </w:tc>
              <w:tc>
                <w:tcPr>
                  <w:tcW w:w="1537" w:type="dxa"/>
                  <w:tcBorders>
                    <w:top w:val="single" w:sz="2" w:space="0" w:color="000000"/>
                    <w:left w:val="single" w:sz="2" w:space="0" w:color="000000"/>
                    <w:bottom w:val="single" w:sz="2" w:space="0" w:color="000000"/>
                    <w:right w:val="single" w:sz="2" w:space="0" w:color="000000"/>
                  </w:tcBorders>
                </w:tcPr>
                <w:p w:rsidR="00C16DE7" w:rsidRDefault="00C16DE7"/>
              </w:tc>
            </w:tr>
            <w:tr w:rsidR="00C16DE7">
              <w:trPr>
                <w:trHeight w:val="289"/>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ind w:left="5"/>
                    <w:rPr>
                      <w:b/>
                      <w:bCs/>
                      <w:sz w:val="26"/>
                      <w:szCs w:val="26"/>
                    </w:rPr>
                  </w:pPr>
                  <w:r>
                    <w:rPr>
                      <w:b/>
                      <w:bCs/>
                      <w:sz w:val="26"/>
                      <w:szCs w:val="26"/>
                    </w:rPr>
                    <w:t>biudžeto lėšos</w:t>
                  </w:r>
                </w:p>
              </w:tc>
              <w:tc>
                <w:tcPr>
                  <w:tcW w:w="1467" w:type="dxa"/>
                  <w:tcBorders>
                    <w:top w:val="single" w:sz="2" w:space="0" w:color="000000"/>
                    <w:left w:val="single" w:sz="2" w:space="0" w:color="000000"/>
                    <w:bottom w:val="single" w:sz="2" w:space="0" w:color="000000"/>
                    <w:right w:val="single" w:sz="2" w:space="0" w:color="000000"/>
                  </w:tcBorders>
                  <w:hideMark/>
                </w:tcPr>
                <w:p w:rsidR="00C16DE7" w:rsidRDefault="00C16DE7">
                  <w:pPr>
                    <w:ind w:right="115"/>
                    <w:jc w:val="center"/>
                  </w:pPr>
                  <w:r>
                    <w:t>-</w:t>
                  </w: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126"/>
                    <w:jc w:val="center"/>
                  </w:pPr>
                  <w:r>
                    <w:t>78,33</w:t>
                  </w:r>
                </w:p>
              </w:tc>
              <w:tc>
                <w:tcPr>
                  <w:tcW w:w="1653" w:type="dxa"/>
                  <w:tcBorders>
                    <w:top w:val="single" w:sz="2" w:space="0" w:color="000000"/>
                    <w:left w:val="single" w:sz="2" w:space="0" w:color="000000"/>
                    <w:bottom w:val="single" w:sz="2" w:space="0" w:color="000000"/>
                    <w:right w:val="single" w:sz="2" w:space="0" w:color="000000"/>
                  </w:tcBorders>
                  <w:hideMark/>
                </w:tcPr>
                <w:p w:rsidR="00C16DE7" w:rsidRDefault="00C16DE7">
                  <w:pPr>
                    <w:ind w:right="109"/>
                    <w:jc w:val="center"/>
                  </w:pPr>
                  <w:r>
                    <w:t>-</w:t>
                  </w:r>
                </w:p>
              </w:tc>
              <w:tc>
                <w:tcPr>
                  <w:tcW w:w="1355" w:type="dxa"/>
                  <w:tcBorders>
                    <w:top w:val="single" w:sz="2" w:space="0" w:color="000000"/>
                    <w:left w:val="single" w:sz="2" w:space="0" w:color="000000"/>
                    <w:bottom w:val="single" w:sz="2" w:space="0" w:color="000000"/>
                    <w:right w:val="single" w:sz="2" w:space="0" w:color="000000"/>
                  </w:tcBorders>
                  <w:hideMark/>
                </w:tcPr>
                <w:p w:rsidR="00C16DE7" w:rsidRDefault="00C16DE7">
                  <w:pPr>
                    <w:ind w:right="111"/>
                    <w:jc w:val="center"/>
                  </w:pPr>
                  <w:r>
                    <w:t>-</w:t>
                  </w: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136"/>
                    <w:jc w:val="center"/>
                  </w:pPr>
                  <w:r>
                    <w:t>78,33</w:t>
                  </w:r>
                </w:p>
              </w:tc>
            </w:tr>
            <w:tr w:rsidR="00C16DE7">
              <w:trPr>
                <w:trHeight w:val="289"/>
              </w:trPr>
              <w:tc>
                <w:tcPr>
                  <w:tcW w:w="2016" w:type="dxa"/>
                  <w:tcBorders>
                    <w:top w:val="single" w:sz="2" w:space="0" w:color="000000"/>
                    <w:left w:val="single" w:sz="2" w:space="0" w:color="000000"/>
                    <w:bottom w:val="single" w:sz="2" w:space="0" w:color="000000"/>
                    <w:right w:val="single" w:sz="2" w:space="0" w:color="000000"/>
                  </w:tcBorders>
                  <w:hideMark/>
                </w:tcPr>
                <w:p w:rsidR="00C16DE7" w:rsidRDefault="00C16DE7">
                  <w:pPr>
                    <w:rPr>
                      <w:b/>
                      <w:bCs/>
                      <w:sz w:val="26"/>
                      <w:szCs w:val="26"/>
                    </w:rPr>
                  </w:pPr>
                  <w:r>
                    <w:rPr>
                      <w:b/>
                      <w:bCs/>
                      <w:sz w:val="26"/>
                      <w:szCs w:val="26"/>
                    </w:rPr>
                    <w:t>Iš viso</w:t>
                  </w:r>
                </w:p>
              </w:tc>
              <w:tc>
                <w:tcPr>
                  <w:tcW w:w="1467" w:type="dxa"/>
                  <w:tcBorders>
                    <w:top w:val="single" w:sz="2" w:space="0" w:color="000000"/>
                    <w:left w:val="single" w:sz="2" w:space="0" w:color="000000"/>
                    <w:bottom w:val="single" w:sz="2" w:space="0" w:color="000000"/>
                    <w:right w:val="single" w:sz="2" w:space="0" w:color="000000"/>
                  </w:tcBorders>
                </w:tcPr>
                <w:p w:rsidR="00C16DE7" w:rsidRDefault="00C16DE7">
                  <w:pPr>
                    <w:rPr>
                      <w:b/>
                    </w:rPr>
                  </w:pPr>
                </w:p>
              </w:tc>
              <w:tc>
                <w:tcPr>
                  <w:tcW w:w="1472" w:type="dxa"/>
                  <w:tcBorders>
                    <w:top w:val="single" w:sz="2" w:space="0" w:color="000000"/>
                    <w:left w:val="single" w:sz="2" w:space="0" w:color="000000"/>
                    <w:bottom w:val="single" w:sz="2" w:space="0" w:color="000000"/>
                    <w:right w:val="single" w:sz="2" w:space="0" w:color="000000"/>
                  </w:tcBorders>
                  <w:hideMark/>
                </w:tcPr>
                <w:p w:rsidR="00C16DE7" w:rsidRDefault="00C16DE7">
                  <w:pPr>
                    <w:ind w:right="126"/>
                    <w:jc w:val="center"/>
                    <w:rPr>
                      <w:b/>
                    </w:rPr>
                  </w:pPr>
                  <w:r>
                    <w:rPr>
                      <w:b/>
                    </w:rPr>
                    <w:t>78,33</w:t>
                  </w:r>
                </w:p>
              </w:tc>
              <w:tc>
                <w:tcPr>
                  <w:tcW w:w="1653" w:type="dxa"/>
                  <w:tcBorders>
                    <w:top w:val="single" w:sz="2" w:space="0" w:color="000000"/>
                    <w:left w:val="single" w:sz="2" w:space="0" w:color="000000"/>
                    <w:bottom w:val="single" w:sz="2" w:space="0" w:color="000000"/>
                    <w:right w:val="single" w:sz="2" w:space="0" w:color="000000"/>
                  </w:tcBorders>
                </w:tcPr>
                <w:p w:rsidR="00C16DE7" w:rsidRDefault="00C16DE7">
                  <w:pPr>
                    <w:rPr>
                      <w:b/>
                    </w:rPr>
                  </w:pPr>
                </w:p>
              </w:tc>
              <w:tc>
                <w:tcPr>
                  <w:tcW w:w="1355" w:type="dxa"/>
                  <w:tcBorders>
                    <w:top w:val="single" w:sz="2" w:space="0" w:color="000000"/>
                    <w:left w:val="single" w:sz="2" w:space="0" w:color="000000"/>
                    <w:bottom w:val="single" w:sz="2" w:space="0" w:color="000000"/>
                    <w:right w:val="single" w:sz="2" w:space="0" w:color="000000"/>
                  </w:tcBorders>
                </w:tcPr>
                <w:p w:rsidR="00C16DE7" w:rsidRDefault="00C16DE7">
                  <w:pPr>
                    <w:rPr>
                      <w:b/>
                    </w:rPr>
                  </w:pPr>
                </w:p>
              </w:tc>
              <w:tc>
                <w:tcPr>
                  <w:tcW w:w="1537" w:type="dxa"/>
                  <w:tcBorders>
                    <w:top w:val="single" w:sz="2" w:space="0" w:color="000000"/>
                    <w:left w:val="single" w:sz="2" w:space="0" w:color="000000"/>
                    <w:bottom w:val="single" w:sz="2" w:space="0" w:color="000000"/>
                    <w:right w:val="single" w:sz="2" w:space="0" w:color="000000"/>
                  </w:tcBorders>
                  <w:hideMark/>
                </w:tcPr>
                <w:p w:rsidR="00C16DE7" w:rsidRDefault="00C16DE7">
                  <w:pPr>
                    <w:ind w:right="136"/>
                    <w:jc w:val="center"/>
                    <w:rPr>
                      <w:b/>
                    </w:rPr>
                  </w:pPr>
                  <w:r>
                    <w:rPr>
                      <w:b/>
                    </w:rPr>
                    <w:t>78,33</w:t>
                  </w:r>
                </w:p>
              </w:tc>
            </w:tr>
          </w:tbl>
          <w:p w:rsidR="00C16DE7" w:rsidRDefault="00C16DE7">
            <w:pPr>
              <w:jc w:val="both"/>
              <w:rPr>
                <w:sz w:val="20"/>
                <w:lang w:eastAsia="lt-LT"/>
              </w:rPr>
            </w:pPr>
            <w:r>
              <w:rPr>
                <w:sz w:val="20"/>
                <w:lang w:eastAsia="lt-LT"/>
              </w:rPr>
              <w:t xml:space="preserve">    </w:t>
            </w:r>
          </w:p>
          <w:p w:rsidR="00C16DE7" w:rsidRDefault="00C16DE7">
            <w:pPr>
              <w:jc w:val="both"/>
              <w:rPr>
                <w:szCs w:val="24"/>
                <w:lang w:eastAsia="lt-LT"/>
              </w:rPr>
            </w:pPr>
            <w:r>
              <w:rPr>
                <w:szCs w:val="24"/>
                <w:lang w:eastAsia="lt-LT"/>
              </w:rPr>
              <w:t xml:space="preserve">          2023 m. įstaigos veiklą kontroliuojančios institucijos vykdė 2 patikrinimus. Nacionalinės visuomenės sveikatos centras prie Sveikatos apsaugos ministerijos Klaipėdos departamento Šilutės skyrius (2023 m. rugsėjo 18 d. aktas Nr. (3-24 15.3.2 </w:t>
            </w:r>
            <w:proofErr w:type="spellStart"/>
            <w:r>
              <w:rPr>
                <w:szCs w:val="24"/>
                <w:lang w:eastAsia="lt-LT"/>
              </w:rPr>
              <w:t>Mr</w:t>
            </w:r>
            <w:proofErr w:type="spellEnd"/>
            <w:r>
              <w:rPr>
                <w:szCs w:val="24"/>
                <w:lang w:eastAsia="lt-LT"/>
              </w:rPr>
              <w:t>) PP-6538, kurio metu nustatyti pažeidimai – skalbyklos sienos ir grindys  nėra padengtos drėgmei ir dezinfekcinėmis medžiagomis atsparia danga, kai kuriose grupėse lubose įtrūkimai, krenta tinkas, matomas pelėsis. Priešmokyklinio amžiaus grupėje vaikų skaičius nesumažintas, vieną vaiką sąraše su nustatytais dideliais specialiaisiais poreikiais, prilyginant dviem vaikams. Šilutės rajono savivaldybės administracijos patikrinimas dėl dokumentų, viešųjų užrašų ir interneto svetainės kalbos atitikimo Lietuvos Respublikos valstybinės kalbos įstatymo ir Valstybinės lietuvių kalbos komisijos nutarimų reikalavimus (patikrinimas 2023 m. spalio 24 d.). Išvada – viešųjų užrašų ir dokumentų kalba taisyklinga, svetainė informatyvi, moderni, informacija nuolat atnaujinama, bet rasta kalbos klaidų ir teksto tvarkybos netikslumų.</w:t>
            </w:r>
          </w:p>
          <w:p w:rsidR="00C16DE7" w:rsidRDefault="00C16DE7">
            <w:pPr>
              <w:jc w:val="both"/>
              <w:rPr>
                <w:szCs w:val="24"/>
                <w:lang w:eastAsia="lt-LT"/>
              </w:rPr>
            </w:pPr>
            <w:r>
              <w:rPr>
                <w:szCs w:val="24"/>
                <w:lang w:eastAsia="lt-LT"/>
              </w:rPr>
              <w:t xml:space="preserve">       2023 m. liko neišspręstos šios problemos: grupėse ir miegamuosiuose trupa tinkas, randasi pelėsis, esant stipriam lietui ir vakariniam vėjui, per sieną sunkiasi vanduo, dėl išorinėse sienose atsiradusių nesandarumų. Grupėse šalta. Reikalingas remontas grupių miegamuosiuose,  skalbykloje ir muzikos salėje. Nesaugi kiemo danga.  </w:t>
            </w:r>
          </w:p>
          <w:p w:rsidR="00C16DE7" w:rsidRDefault="00C16DE7">
            <w:pPr>
              <w:jc w:val="both"/>
              <w:rPr>
                <w:szCs w:val="24"/>
                <w:lang w:eastAsia="lt-LT"/>
              </w:rPr>
            </w:pPr>
            <w:r>
              <w:rPr>
                <w:szCs w:val="24"/>
                <w:lang w:eastAsia="lt-LT"/>
              </w:rPr>
              <w:t xml:space="preserve">      Reikalinga išorinė ir vidinė pastato renovacija, šilumos punkto atnaujinimas, elektros instaliacijos keitimas.</w:t>
            </w:r>
          </w:p>
          <w:p w:rsidR="00C16DE7" w:rsidRDefault="00C16DE7" w:rsidP="00FA752F">
            <w:pPr>
              <w:jc w:val="both"/>
              <w:rPr>
                <w:szCs w:val="24"/>
                <w:lang w:eastAsia="lt-LT"/>
              </w:rPr>
            </w:pPr>
            <w:r>
              <w:rPr>
                <w:szCs w:val="24"/>
                <w:lang w:eastAsia="lt-LT"/>
              </w:rPr>
              <w:t xml:space="preserve">      Planuodama 2024 m. veiklą įstaigos bendruomenė išsikėlė veiklos prioritetą – saugios, patrauklios  į individualius vaiko poreikius orientuotos, vidaus ir lauko, ugdymosi aplinkos kūrimas.</w:t>
            </w:r>
          </w:p>
        </w:tc>
      </w:tr>
    </w:tbl>
    <w:p w:rsidR="002471A2" w:rsidRPr="00C16DE7" w:rsidRDefault="002471A2" w:rsidP="00FA752F">
      <w:pPr>
        <w:rPr>
          <w:szCs w:val="24"/>
        </w:rPr>
      </w:pPr>
      <w:bookmarkStart w:id="0" w:name="_GoBack"/>
      <w:bookmarkEnd w:id="0"/>
    </w:p>
    <w:sectPr w:rsidR="002471A2" w:rsidRPr="00C16DE7" w:rsidSect="00C16DE7">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DE7"/>
    <w:rsid w:val="002471A2"/>
    <w:rsid w:val="00C16DE7"/>
    <w:rsid w:val="00FA75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D241E"/>
  <w15:chartTrackingRefBased/>
  <w15:docId w15:val="{910E8D37-4557-40C8-8117-3DAFB2B7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C16DE7"/>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C16DE7"/>
    <w:pPr>
      <w:spacing w:after="0" w:line="240" w:lineRule="auto"/>
    </w:pPr>
    <w:rPr>
      <w:rFonts w:ascii="Times New Roman" w:eastAsia="Times New Roman" w:hAnsi="Times New Roman" w:cs="Times New Roman"/>
      <w:sz w:val="24"/>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319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4341</Words>
  <Characters>2475</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Gintarėlis</dc:creator>
  <cp:keywords/>
  <dc:description/>
  <cp:lastModifiedBy>Gintarėlis</cp:lastModifiedBy>
  <cp:revision>3</cp:revision>
  <dcterms:created xsi:type="dcterms:W3CDTF">2024-01-18T06:20:00Z</dcterms:created>
  <dcterms:modified xsi:type="dcterms:W3CDTF">2024-01-18T06:45:00Z</dcterms:modified>
</cp:coreProperties>
</file>